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011" w:rsidRPr="00AC2B7C" w:rsidRDefault="00722011" w:rsidP="0072201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М</w:t>
      </w:r>
      <w:r w:rsidRPr="00306672">
        <w:rPr>
          <w:b/>
          <w:sz w:val="32"/>
          <w:szCs w:val="32"/>
        </w:rPr>
        <w:t xml:space="preserve">еры </w:t>
      </w:r>
      <w:r w:rsidRPr="00306672">
        <w:rPr>
          <w:b/>
          <w:sz w:val="32"/>
          <w:szCs w:val="32"/>
        </w:rPr>
        <w:br/>
        <w:t>по поддержке строительной отрасли в целях минимизации последствий кризисных явлений и адаптации строительной отрасли в послекризисный период</w:t>
      </w:r>
      <w:r w:rsidRPr="00306672">
        <w:rPr>
          <w:b/>
          <w:sz w:val="32"/>
          <w:szCs w:val="32"/>
        </w:rPr>
        <w:br/>
      </w:r>
      <w:r w:rsidRPr="00306672">
        <w:rPr>
          <w:sz w:val="28"/>
          <w:szCs w:val="28"/>
        </w:rPr>
        <w:t xml:space="preserve">(предложения НОСТРОЙ и НОПРИЗ от 24.03.2020, а также саморегулируемых организаций и их членов </w:t>
      </w:r>
      <w:r>
        <w:rPr>
          <w:sz w:val="28"/>
          <w:szCs w:val="28"/>
        </w:rPr>
        <w:br/>
      </w:r>
      <w:r w:rsidRPr="00306672">
        <w:rPr>
          <w:sz w:val="28"/>
          <w:szCs w:val="28"/>
        </w:rPr>
        <w:t xml:space="preserve">с учетом </w:t>
      </w:r>
      <w:r w:rsidRPr="00306672">
        <w:rPr>
          <w:sz w:val="28"/>
          <w:szCs w:val="28"/>
          <w:lang w:val="en-US"/>
        </w:rPr>
        <w:t>COVID</w:t>
      </w:r>
      <w:r w:rsidRPr="00306672">
        <w:rPr>
          <w:sz w:val="28"/>
          <w:szCs w:val="28"/>
        </w:rPr>
        <w:t xml:space="preserve">-2019) </w:t>
      </w:r>
      <w:r w:rsidRPr="00306672">
        <w:rPr>
          <w:b/>
          <w:bCs/>
          <w:color w:val="FF0000"/>
          <w:sz w:val="28"/>
          <w:szCs w:val="28"/>
        </w:rPr>
        <w:t xml:space="preserve">по состоянию на </w:t>
      </w:r>
      <w:r>
        <w:rPr>
          <w:b/>
          <w:bCs/>
          <w:color w:val="FF0000"/>
          <w:sz w:val="28"/>
          <w:szCs w:val="28"/>
        </w:rPr>
        <w:t>12</w:t>
      </w:r>
      <w:r w:rsidRPr="00306672">
        <w:rPr>
          <w:b/>
          <w:bCs/>
          <w:color w:val="FF0000"/>
          <w:sz w:val="28"/>
          <w:szCs w:val="28"/>
        </w:rPr>
        <w:t>.0</w:t>
      </w:r>
      <w:r>
        <w:rPr>
          <w:b/>
          <w:bCs/>
          <w:color w:val="FF0000"/>
          <w:sz w:val="28"/>
          <w:szCs w:val="28"/>
        </w:rPr>
        <w:t>5</w:t>
      </w:r>
      <w:r w:rsidRPr="00306672">
        <w:rPr>
          <w:b/>
          <w:bCs/>
          <w:color w:val="FF0000"/>
          <w:sz w:val="28"/>
          <w:szCs w:val="28"/>
        </w:rPr>
        <w:t>.2020</w:t>
      </w:r>
    </w:p>
    <w:p w:rsidR="009238CE" w:rsidRDefault="009238CE"/>
    <w:p w:rsidR="00722011" w:rsidRPr="00722011" w:rsidRDefault="00722011">
      <w:pPr>
        <w:rPr>
          <w:b/>
          <w:color w:val="C00000"/>
          <w:sz w:val="28"/>
        </w:rPr>
      </w:pPr>
      <w:r w:rsidRPr="00722011">
        <w:rPr>
          <w:b/>
          <w:color w:val="C00000"/>
          <w:sz w:val="28"/>
        </w:rPr>
        <w:t xml:space="preserve">Территориальное планирование и градостроительное зонирование </w:t>
      </w:r>
    </w:p>
    <w:p w:rsidR="00722011" w:rsidRDefault="00722011"/>
    <w:tbl>
      <w:tblPr>
        <w:tblStyle w:val="a4"/>
        <w:tblW w:w="14808" w:type="dxa"/>
        <w:tblInd w:w="35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3"/>
        <w:gridCol w:w="6520"/>
        <w:gridCol w:w="2835"/>
        <w:gridCol w:w="2552"/>
        <w:gridCol w:w="2268"/>
      </w:tblGrid>
      <w:tr w:rsidR="00597BE1" w:rsidRPr="00F71921" w:rsidTr="00597BE1">
        <w:tc>
          <w:tcPr>
            <w:tcW w:w="14808" w:type="dxa"/>
            <w:gridSpan w:val="5"/>
            <w:shd w:val="clear" w:color="auto" w:fill="FFC000" w:themeFill="accent4"/>
          </w:tcPr>
          <w:p w:rsidR="00597BE1" w:rsidRPr="00597BE1" w:rsidRDefault="00597BE1" w:rsidP="008856A9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ОБЩИЕ ВОПРОСЫ</w:t>
            </w: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1.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Перевод услуги по технологическому присоединению (подключению) в электронный вид через механизм «Единого окна» на базе органа власти или подведомственной организации в субъекте Российской Федерации.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  <w:p w:rsidR="00722011" w:rsidRPr="002D29E6" w:rsidRDefault="00722011" w:rsidP="008856A9">
            <w:pPr>
              <w:jc w:val="both"/>
            </w:pP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2.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Разработка совместных поправок в земельное законодательство и в законодательство о технологическом подключении (присоединении) для придания «предварительным техническим условиям», получаемыми организаторами аукциона на право аренды земельных участков для целей застройки или участниками таких аукционов, статуса оферты ресурсоснабжающей организации.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3.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Разработка и реализация мер по повышению доступности инженерной инфраструктуры, включая использование инвестиционных программ коммунальных предприятий и естественных монополий, синхронизированных с документами территориального планирования и обеспечиваемых финансированием с использованием тарифного регулирования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  <w:p w:rsidR="00722011" w:rsidRPr="002D29E6" w:rsidRDefault="00722011" w:rsidP="008856A9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4.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Установление для региональных и муниципальных органов власти целевых показателей по вовлечению в оборот подготовленных для строительства земельных участков.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5.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 xml:space="preserve">Проведение мониторинга за соответствием проектов и схем развития транспортной, инженерной и социальной </w:t>
            </w:r>
            <w:r w:rsidRPr="002D29E6">
              <w:lastRenderedPageBreak/>
              <w:t xml:space="preserve">инфраструктур с документами территориального планирования в зонах активного (перспективного) строительства жилья в регионах. 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lastRenderedPageBreak/>
              <w:t xml:space="preserve">предложения </w:t>
            </w:r>
            <w:r w:rsidRPr="002D29E6">
              <w:br/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6.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Разработка типовой региональной программы стимулирования ИЖС, включающую выбор земельных участков, разработку градостроительных концепций, определение источников финансирования строительства инфраструктуры, установление регламентов использования земельных участков, территорий и объектов общего пользования, формирование фондов обеспечения долгосрочного финансирования строительства ИЖС и пр. мер стимулирования на уровне субъектов Российской Федерации.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1)Ассоциация «Жилищно-строительное объединение Мурмана», г. Мурманск, письмо от 02.04.2020№ 444;</w:t>
            </w:r>
          </w:p>
          <w:p w:rsidR="00722011" w:rsidRPr="002D29E6" w:rsidRDefault="00722011" w:rsidP="008856A9">
            <w:pPr>
              <w:jc w:val="both"/>
            </w:pPr>
            <w:r w:rsidRPr="002D29E6">
              <w:t>2) Институт экономики города, письмо от 10.04.2020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722011" w:rsidRPr="00F71921" w:rsidTr="00722011">
        <w:tc>
          <w:tcPr>
            <w:tcW w:w="633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7.</w:t>
            </w:r>
          </w:p>
        </w:tc>
        <w:tc>
          <w:tcPr>
            <w:tcW w:w="6520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Разработка и выполнение комплекса мер по повышению доступности земельных участков, включая меры по совершенствованию и переработке градостроительной документации, с учетом увеличения земель застройки</w:t>
            </w:r>
          </w:p>
        </w:tc>
        <w:tc>
          <w:tcPr>
            <w:tcW w:w="2835" w:type="dxa"/>
            <w:shd w:val="clear" w:color="auto" w:fill="FFFFFF" w:themeFill="background1"/>
          </w:tcPr>
          <w:p w:rsidR="00722011" w:rsidRPr="002D29E6" w:rsidRDefault="00722011" w:rsidP="008856A9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  <w:p w:rsidR="00722011" w:rsidRPr="002D29E6" w:rsidRDefault="00722011" w:rsidP="008856A9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722011" w:rsidRPr="002D29E6" w:rsidRDefault="00722011" w:rsidP="008856A9">
            <w:pPr>
              <w:jc w:val="both"/>
            </w:pPr>
            <w:r w:rsidRPr="002D29E6">
              <w:t>Ассоциация «Жилищно-строительное объединение Мурмана», г. Мурманск, письмо от 02.04.2020№ 444</w:t>
            </w:r>
          </w:p>
        </w:tc>
        <w:tc>
          <w:tcPr>
            <w:tcW w:w="2268" w:type="dxa"/>
            <w:shd w:val="clear" w:color="auto" w:fill="FFFFFF" w:themeFill="background1"/>
          </w:tcPr>
          <w:p w:rsidR="00722011" w:rsidRPr="002D29E6" w:rsidRDefault="00722011" w:rsidP="008856A9">
            <w:pPr>
              <w:ind w:left="360"/>
              <w:jc w:val="both"/>
            </w:pPr>
          </w:p>
        </w:tc>
      </w:tr>
      <w:tr w:rsidR="002D29E6" w:rsidRPr="00597BE1" w:rsidTr="00722011">
        <w:tc>
          <w:tcPr>
            <w:tcW w:w="633" w:type="dxa"/>
            <w:shd w:val="clear" w:color="auto" w:fill="FFFFFF" w:themeFill="background1"/>
          </w:tcPr>
          <w:p w:rsidR="002D29E6" w:rsidRPr="00597BE1" w:rsidRDefault="00597BE1" w:rsidP="002D29E6">
            <w:pPr>
              <w:jc w:val="both"/>
            </w:pPr>
            <w:r>
              <w:t>8.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Default="002D29E6" w:rsidP="002D29E6">
            <w:pPr>
              <w:jc w:val="both"/>
              <w:rPr>
                <w:spacing w:val="-6"/>
              </w:rPr>
            </w:pPr>
            <w:r w:rsidRPr="00597BE1">
              <w:t>В целях увеличения темпов вовлечения новых земельных участков в период восстановления параметров деятельности строительной отрасли, а также для гарантированного достижения показателей Национального проекта «Жилье и городская среда» предлагается ввести мораторий на применение ограничений,</w:t>
            </w:r>
            <w:r w:rsidRPr="00597BE1">
              <w:rPr>
                <w:spacing w:val="-6"/>
              </w:rPr>
              <w:t xml:space="preserve"> установленных в зонах особых условий использования территорий до 31 декабря 2022 года, установленных Земельным кодексом Российской Федерации, Градостроительным кодексом Российской Федерации и специальными актами Правительства Российской Федерации.</w:t>
            </w:r>
          </w:p>
          <w:p w:rsidR="00597BE1" w:rsidRPr="00597BE1" w:rsidRDefault="00597BE1" w:rsidP="002D29E6">
            <w:pPr>
              <w:jc w:val="both"/>
            </w:pPr>
          </w:p>
        </w:tc>
        <w:tc>
          <w:tcPr>
            <w:tcW w:w="2835" w:type="dxa"/>
            <w:shd w:val="clear" w:color="auto" w:fill="FFFFFF" w:themeFill="background1"/>
          </w:tcPr>
          <w:p w:rsidR="002D29E6" w:rsidRPr="00597BE1" w:rsidRDefault="002D29E6" w:rsidP="002D29E6">
            <w:pPr>
              <w:jc w:val="center"/>
            </w:pPr>
            <w:r w:rsidRPr="00597BE1">
              <w:t xml:space="preserve">предложения </w:t>
            </w:r>
            <w:r w:rsidRPr="00597BE1">
              <w:br/>
              <w:t>НОСТРОЙ и НОПРИЗ</w:t>
            </w:r>
          </w:p>
          <w:p w:rsidR="002D29E6" w:rsidRPr="00597BE1" w:rsidRDefault="002D29E6" w:rsidP="002D29E6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2D29E6" w:rsidRPr="00597BE1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597BE1" w:rsidRDefault="002D29E6" w:rsidP="002D29E6">
            <w:pPr>
              <w:ind w:left="360"/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177C30" w:rsidP="002D29E6">
            <w:pPr>
              <w:jc w:val="both"/>
            </w:pPr>
            <w:r>
              <w:t>9.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 xml:space="preserve">Введение института независимой оценки технических условий и решений, выдаваемых застройщикам </w:t>
            </w:r>
            <w:r w:rsidRPr="002D29E6">
              <w:lastRenderedPageBreak/>
              <w:t xml:space="preserve">ресурсоснабжающими организациями в процессе технологического присоединения. 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lastRenderedPageBreak/>
              <w:t xml:space="preserve">предложения </w:t>
            </w:r>
            <w:r w:rsidRPr="002D29E6">
              <w:br/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177C30" w:rsidP="002D29E6">
            <w:pPr>
              <w:jc w:val="both"/>
            </w:pPr>
            <w:r>
              <w:t>10.</w:t>
            </w:r>
            <w:r w:rsidR="00597BE1">
              <w:t>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 xml:space="preserve">Нормативное закрепление возможности переуступки мощности от потребителя услуги по технологическому присоединению (подключению) к другой заинтересованной организации. 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t>1</w:t>
            </w:r>
            <w:r w:rsidR="00177C30">
              <w:t>1.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Введение возможности корректировки технических условий без их отмены по результатам проектирования объектов жилищного строительства.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  <w:p w:rsidR="002D29E6" w:rsidRPr="002D29E6" w:rsidRDefault="002D29E6" w:rsidP="002D29E6">
            <w:pPr>
              <w:jc w:val="both"/>
            </w:pP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t>1</w:t>
            </w:r>
            <w:r w:rsidR="00177C30">
              <w:t>2.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Разработка совместных поправок в земельное законодательство, градостроительное законодательство и в законодательство о технологическом подключении (присоединении) для увязки схем развития сетей, инвестиционных программ естественных монополий и документов территориального планирования.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  <w:p w:rsidR="002D29E6" w:rsidRPr="002D29E6" w:rsidRDefault="002D29E6" w:rsidP="002D29E6">
            <w:pPr>
              <w:jc w:val="both"/>
            </w:pP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  <w:tr w:rsidR="00597BE1" w:rsidRPr="00F71921" w:rsidTr="00597BE1">
        <w:tc>
          <w:tcPr>
            <w:tcW w:w="14808" w:type="dxa"/>
            <w:gridSpan w:val="5"/>
            <w:shd w:val="clear" w:color="auto" w:fill="FFC000" w:themeFill="accent4"/>
          </w:tcPr>
          <w:p w:rsidR="00597BE1" w:rsidRPr="00597BE1" w:rsidRDefault="00597BE1" w:rsidP="002D29E6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ЭКОНОМИЧЕСКИЕ ВОПРОСЫ</w:t>
            </w: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t>1.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Снижение стоимости строительства за счет повышения доступности предоставления или приобретения земельных участков для малоэтажного жилищного строительства и финансирования инженерной и социальной инфраструктуры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 xml:space="preserve">предложения </w:t>
            </w:r>
            <w:r w:rsidRPr="002D29E6">
              <w:br/>
              <w:t>НОСТРОЙ и НОПРИЗ</w:t>
            </w:r>
          </w:p>
          <w:p w:rsidR="002D29E6" w:rsidRPr="002D29E6" w:rsidRDefault="002D29E6" w:rsidP="002D29E6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t>2.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Снижение арендной платы за использование земельных участков при ведении строительства или ее отмена (отсрочка) сроком на 6 месяцев при строительстве жилья и социальных объектов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>ООО СП «Менеджмент», письмо вх. № 01-2794/20 от 31.03.2020</w:t>
            </w: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 xml:space="preserve">1)ООО «Финстрой» </w:t>
            </w:r>
            <w:r w:rsidRPr="002D29E6">
              <w:br/>
              <w:t>г. Самара, письмо от 07.04.2020</w:t>
            </w:r>
          </w:p>
          <w:p w:rsidR="002D29E6" w:rsidRPr="002D29E6" w:rsidRDefault="002D29E6" w:rsidP="002D29E6">
            <w:pPr>
              <w:jc w:val="both"/>
            </w:pPr>
            <w:r w:rsidRPr="002D29E6">
              <w:t>2) Сахалинское Саморегулируемое объединение Строителей, письмо от 09.04.2020 № 495</w:t>
            </w:r>
          </w:p>
          <w:p w:rsidR="002D29E6" w:rsidRPr="002D29E6" w:rsidRDefault="002D29E6" w:rsidP="002D29E6">
            <w:pPr>
              <w:jc w:val="both"/>
            </w:pPr>
            <w:r w:rsidRPr="002D29E6">
              <w:t>3) Ассоциация СРО «Строитель», г. Ижевск, письмо от 17.04.2020 № 321</w:t>
            </w: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1) Письмо НОСТРОЙ от 04.04.2020 № 04-02-1329/20</w:t>
            </w:r>
          </w:p>
          <w:p w:rsidR="002D29E6" w:rsidRPr="002D29E6" w:rsidRDefault="002D29E6" w:rsidP="002D29E6">
            <w:pPr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t>3.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  <w:rPr>
                <w:highlight w:val="yellow"/>
              </w:rPr>
            </w:pPr>
            <w:r w:rsidRPr="002D29E6">
              <w:t xml:space="preserve">Установить возможность продления договоров аренды земельных участков, находящихся в государственной или </w:t>
            </w:r>
            <w:r w:rsidRPr="002D29E6">
              <w:lastRenderedPageBreak/>
              <w:t xml:space="preserve">муниципальной собственности, на срок не менее 5-ти лет с сохранением их условий по заявлению застройщика. 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lastRenderedPageBreak/>
              <w:t xml:space="preserve"> предложения </w:t>
            </w:r>
          </w:p>
          <w:p w:rsidR="002D29E6" w:rsidRPr="002D29E6" w:rsidRDefault="002D29E6" w:rsidP="002D29E6">
            <w:pPr>
              <w:jc w:val="center"/>
            </w:pPr>
            <w:r w:rsidRPr="002D29E6"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1)ОПОРА России, письмо от 06.04.2020;</w:t>
            </w:r>
          </w:p>
          <w:p w:rsidR="002D29E6" w:rsidRPr="002D29E6" w:rsidRDefault="002D29E6" w:rsidP="002D29E6">
            <w:pPr>
              <w:jc w:val="both"/>
            </w:pPr>
            <w:r w:rsidRPr="002D29E6">
              <w:lastRenderedPageBreak/>
              <w:t>2) ООО «Прогресс», г. Астрахань, письмо от 22.04.2020 № 49/1</w:t>
            </w:r>
          </w:p>
          <w:p w:rsidR="002D29E6" w:rsidRPr="002D29E6" w:rsidRDefault="002D29E6" w:rsidP="002D29E6">
            <w:pPr>
              <w:jc w:val="both"/>
            </w:pPr>
            <w:r w:rsidRPr="002D29E6">
              <w:t>3) Трест Магнитострой, г. Магнитогорск, письмо от 20.04.2020 № 04-2/2020</w:t>
            </w:r>
          </w:p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</w:pPr>
            <w:r w:rsidRPr="002D29E6">
              <w:lastRenderedPageBreak/>
              <w:t xml:space="preserve">Письмо НОСТРОЙ от </w:t>
            </w:r>
            <w:r w:rsidRPr="002D29E6">
              <w:lastRenderedPageBreak/>
              <w:t>15.04.2020 № 01-1334/20;</w:t>
            </w:r>
          </w:p>
          <w:p w:rsidR="002D29E6" w:rsidRPr="002D29E6" w:rsidRDefault="002D29E6" w:rsidP="002D29E6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</w:pPr>
            <w:r w:rsidRPr="002D29E6">
              <w:t>Внесен законопроект № 953580-7— о праве арендатора земельного участка, находящегося в государственной или муниципальной собственности, потребовать увеличения срока договора аренды до 3-х лет.</w:t>
            </w: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lastRenderedPageBreak/>
              <w:t>4.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  <w:r w:rsidRPr="002D29E6">
              <w:t>Снижение стоимости земельных участков под строительство.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>ООО СП «Менеджмент», письмо вх. № 01-2794/20 от 31.03.2020</w:t>
            </w: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  <w:tr w:rsidR="002D29E6" w:rsidRPr="00F71921" w:rsidTr="00722011">
        <w:tc>
          <w:tcPr>
            <w:tcW w:w="633" w:type="dxa"/>
            <w:shd w:val="clear" w:color="auto" w:fill="FFFFFF" w:themeFill="background1"/>
          </w:tcPr>
          <w:p w:rsidR="002D29E6" w:rsidRPr="002D29E6" w:rsidRDefault="00597BE1" w:rsidP="002D29E6">
            <w:pPr>
              <w:jc w:val="both"/>
            </w:pPr>
            <w:r>
              <w:t>5.</w:t>
            </w:r>
          </w:p>
        </w:tc>
        <w:tc>
          <w:tcPr>
            <w:tcW w:w="6520" w:type="dxa"/>
            <w:shd w:val="clear" w:color="auto" w:fill="FFFFFF" w:themeFill="background1"/>
          </w:tcPr>
          <w:p w:rsidR="002D29E6" w:rsidRPr="00597BE1" w:rsidRDefault="002D29E6" w:rsidP="002D29E6">
            <w:pPr>
              <w:jc w:val="both"/>
            </w:pPr>
            <w:r w:rsidRPr="00597BE1">
              <w:rPr>
                <w:spacing w:val="-6"/>
              </w:rPr>
              <w:t xml:space="preserve">Рекомендовать главам органов местного самоуправления </w:t>
            </w:r>
            <w:r w:rsidRPr="00597BE1">
              <w:t>применять при предоставлении в аренду земельных участков, находящихся в муниципальной собственности, в том числе по итогам торгов, стандартную муниципальную ставку арендных платежей.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2D29E6" w:rsidRPr="002D29E6" w:rsidRDefault="002D29E6" w:rsidP="002D29E6">
            <w:pPr>
              <w:jc w:val="center"/>
            </w:pPr>
            <w:r w:rsidRPr="002D29E6">
              <w:t xml:space="preserve"> предложения </w:t>
            </w:r>
          </w:p>
          <w:p w:rsidR="002D29E6" w:rsidRPr="002D29E6" w:rsidRDefault="002D29E6" w:rsidP="002D29E6">
            <w:pPr>
              <w:jc w:val="center"/>
            </w:pPr>
            <w:r w:rsidRPr="002D29E6">
              <w:t>НОСТРОЙ и НОПРИЗ</w:t>
            </w:r>
          </w:p>
        </w:tc>
        <w:tc>
          <w:tcPr>
            <w:tcW w:w="2552" w:type="dxa"/>
            <w:shd w:val="clear" w:color="auto" w:fill="FFFFFF" w:themeFill="background1"/>
          </w:tcPr>
          <w:p w:rsidR="002D29E6" w:rsidRPr="002D29E6" w:rsidRDefault="002D29E6" w:rsidP="002D29E6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2D29E6" w:rsidRPr="002D29E6" w:rsidRDefault="002D29E6" w:rsidP="002D29E6">
            <w:pPr>
              <w:ind w:left="360"/>
              <w:jc w:val="both"/>
            </w:pPr>
          </w:p>
        </w:tc>
      </w:tr>
    </w:tbl>
    <w:p w:rsidR="00722011" w:rsidRDefault="00722011"/>
    <w:sectPr w:rsidR="00722011" w:rsidSect="00722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7D32"/>
    <w:multiLevelType w:val="hybridMultilevel"/>
    <w:tmpl w:val="763C77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728"/>
    <w:multiLevelType w:val="hybridMultilevel"/>
    <w:tmpl w:val="763C77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1D57"/>
    <w:multiLevelType w:val="hybridMultilevel"/>
    <w:tmpl w:val="211C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31E8"/>
    <w:multiLevelType w:val="hybridMultilevel"/>
    <w:tmpl w:val="763C77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42C7"/>
    <w:multiLevelType w:val="hybridMultilevel"/>
    <w:tmpl w:val="763C77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C208C"/>
    <w:multiLevelType w:val="hybridMultilevel"/>
    <w:tmpl w:val="763C77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11"/>
    <w:rsid w:val="00177C30"/>
    <w:rsid w:val="002D29E6"/>
    <w:rsid w:val="00597BE1"/>
    <w:rsid w:val="00722011"/>
    <w:rsid w:val="00755EC1"/>
    <w:rsid w:val="0092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38F5"/>
  <w15:chartTrackingRefBased/>
  <w15:docId w15:val="{6941717E-EE62-472C-8EF2-B2E0C299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11"/>
    <w:pPr>
      <w:ind w:left="720"/>
      <w:contextualSpacing/>
    </w:pPr>
  </w:style>
  <w:style w:type="table" w:styleId="a4">
    <w:name w:val="Table Grid"/>
    <w:basedOn w:val="a1"/>
    <w:uiPriority w:val="59"/>
    <w:rsid w:val="0072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Kopylova</dc:creator>
  <cp:keywords/>
  <dc:description/>
  <cp:lastModifiedBy>Olga Kopylova</cp:lastModifiedBy>
  <cp:revision>2</cp:revision>
  <dcterms:created xsi:type="dcterms:W3CDTF">2020-05-20T07:22:00Z</dcterms:created>
  <dcterms:modified xsi:type="dcterms:W3CDTF">2020-05-20T07:22:00Z</dcterms:modified>
</cp:coreProperties>
</file>